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3F18" w14:textId="1124C73F" w:rsidR="006F1ED9" w:rsidRPr="006F1ED9" w:rsidRDefault="006F1ED9" w:rsidP="5F226C58">
      <w:pPr>
        <w:pStyle w:val="Heading1"/>
        <w:jc w:val="center"/>
        <w:rPr>
          <w:color w:val="000000" w:themeColor="text1"/>
        </w:rPr>
      </w:pPr>
      <w:r w:rsidRPr="5F226C58">
        <w:rPr>
          <w:color w:val="000000" w:themeColor="text1"/>
        </w:rPr>
        <w:t>Request for Approval to Attend AGILE 2026 Conference</w:t>
      </w:r>
    </w:p>
    <w:p w14:paraId="3F364C58" w14:textId="77777777" w:rsidR="006F1ED9" w:rsidRDefault="006F1ED9" w:rsidP="5F226C58">
      <w:pPr>
        <w:rPr>
          <w:rFonts w:asciiTheme="majorHAnsi" w:eastAsiaTheme="majorEastAsia" w:hAnsiTheme="majorHAnsi" w:cstheme="majorBidi"/>
        </w:rPr>
      </w:pPr>
    </w:p>
    <w:p w14:paraId="5AD53BBA" w14:textId="16DA8EE8" w:rsidR="5F226C58" w:rsidRDefault="5F226C58" w:rsidP="5F226C58">
      <w:pPr>
        <w:rPr>
          <w:rFonts w:asciiTheme="majorHAnsi" w:eastAsiaTheme="majorEastAsia" w:hAnsiTheme="majorHAnsi" w:cstheme="majorBidi"/>
        </w:rPr>
      </w:pPr>
    </w:p>
    <w:p w14:paraId="211B9088" w14:textId="2FCF4F7F" w:rsidR="006F1ED9" w:rsidRDefault="006F1ED9" w:rsidP="5F226C58">
      <w:pPr>
        <w:rPr>
          <w:rFonts w:asciiTheme="majorHAnsi" w:eastAsiaTheme="majorEastAsia" w:hAnsiTheme="majorHAnsi" w:cstheme="majorBidi"/>
          <w:highlight w:val="yellow"/>
        </w:rPr>
      </w:pPr>
      <w:r w:rsidRPr="04C6DE2E">
        <w:rPr>
          <w:rFonts w:asciiTheme="majorHAnsi" w:eastAsiaTheme="majorEastAsia" w:hAnsiTheme="majorHAnsi" w:cstheme="majorBidi"/>
        </w:rPr>
        <w:t xml:space="preserve">Dear </w:t>
      </w:r>
      <w:r w:rsidRPr="04C6DE2E">
        <w:rPr>
          <w:rFonts w:asciiTheme="majorHAnsi" w:eastAsiaTheme="majorEastAsia" w:hAnsiTheme="majorHAnsi" w:cstheme="majorBidi"/>
          <w:highlight w:val="yellow"/>
        </w:rPr>
        <w:t>[Manager’s Name],</w:t>
      </w:r>
      <w:r>
        <w:tab/>
      </w:r>
      <w:r>
        <w:tab/>
      </w:r>
      <w:r>
        <w:tab/>
      </w:r>
      <w:r>
        <w:tab/>
      </w:r>
    </w:p>
    <w:p w14:paraId="490A4451" w14:textId="77777777" w:rsidR="006F1ED9" w:rsidRPr="00236C1C" w:rsidRDefault="006F1ED9" w:rsidP="5F226C58">
      <w:pPr>
        <w:rPr>
          <w:rFonts w:asciiTheme="majorHAnsi" w:eastAsiaTheme="majorEastAsia" w:hAnsiTheme="majorHAnsi" w:cstheme="majorBidi"/>
        </w:rPr>
      </w:pPr>
    </w:p>
    <w:p w14:paraId="39846C9A" w14:textId="77777777" w:rsidR="006F1ED9" w:rsidRPr="00236C1C" w:rsidRDefault="006F1ED9" w:rsidP="33BD25C4">
      <w:pPr>
        <w:jc w:val="both"/>
        <w:rPr>
          <w:rFonts w:asciiTheme="majorHAnsi" w:eastAsiaTheme="majorEastAsia" w:hAnsiTheme="majorHAnsi" w:cstheme="majorBidi"/>
        </w:rPr>
      </w:pPr>
      <w:r w:rsidRPr="5F226C58">
        <w:rPr>
          <w:rFonts w:asciiTheme="majorHAnsi" w:eastAsiaTheme="majorEastAsia" w:hAnsiTheme="majorHAnsi" w:cstheme="majorBidi"/>
        </w:rPr>
        <w:t>I’m writing to request approval to attend </w:t>
      </w:r>
      <w:r w:rsidRPr="5F226C58">
        <w:rPr>
          <w:rFonts w:asciiTheme="majorHAnsi" w:eastAsiaTheme="majorEastAsia" w:hAnsiTheme="majorHAnsi" w:cstheme="majorBidi"/>
          <w:b/>
          <w:bCs/>
        </w:rPr>
        <w:t>AGILE 2026 – Axxess Growth, Innovation and Leadership Experience</w:t>
      </w:r>
      <w:r w:rsidRPr="5F226C58">
        <w:rPr>
          <w:rFonts w:asciiTheme="majorHAnsi" w:eastAsiaTheme="majorEastAsia" w:hAnsiTheme="majorHAnsi" w:cstheme="majorBidi"/>
        </w:rPr>
        <w:t xml:space="preserve">, taking place on </w:t>
      </w:r>
      <w:r w:rsidRPr="5F226C58">
        <w:rPr>
          <w:rFonts w:asciiTheme="majorHAnsi" w:eastAsiaTheme="majorEastAsia" w:hAnsiTheme="majorHAnsi" w:cstheme="majorBidi"/>
          <w:b/>
          <w:bCs/>
        </w:rPr>
        <w:t>May 4–6, 2026</w:t>
      </w:r>
      <w:r w:rsidRPr="5F226C58">
        <w:rPr>
          <w:rFonts w:asciiTheme="majorHAnsi" w:eastAsiaTheme="majorEastAsia" w:hAnsiTheme="majorHAnsi" w:cstheme="majorBidi"/>
        </w:rPr>
        <w:t> at the Fairmont Hotel in Dallas, Texas.</w:t>
      </w:r>
    </w:p>
    <w:p w14:paraId="5144EAFE" w14:textId="77777777" w:rsidR="006F1ED9" w:rsidRDefault="006F1ED9" w:rsidP="33BD25C4">
      <w:pPr>
        <w:jc w:val="both"/>
        <w:rPr>
          <w:rFonts w:asciiTheme="majorHAnsi" w:eastAsiaTheme="majorEastAsia" w:hAnsiTheme="majorHAnsi" w:cstheme="majorBidi"/>
        </w:rPr>
      </w:pPr>
    </w:p>
    <w:p w14:paraId="13B7CAE0" w14:textId="136D78AD" w:rsidR="41055039" w:rsidRDefault="41055039" w:rsidP="4BB1C56A">
      <w:pPr>
        <w:jc w:val="both"/>
        <w:rPr>
          <w:rFonts w:asciiTheme="majorHAnsi" w:eastAsiaTheme="majorEastAsia" w:hAnsiTheme="majorHAnsi" w:cstheme="majorBidi"/>
        </w:rPr>
      </w:pPr>
      <w:r w:rsidRPr="4BB1C56A">
        <w:rPr>
          <w:rFonts w:asciiTheme="majorHAnsi" w:eastAsiaTheme="majorEastAsia" w:hAnsiTheme="majorHAnsi" w:cstheme="majorBidi"/>
        </w:rPr>
        <w:t>AGILE is Axxess’ annual conference</w:t>
      </w:r>
      <w:r w:rsidR="10703CBD" w:rsidRPr="4BB1C56A">
        <w:rPr>
          <w:rFonts w:asciiTheme="majorHAnsi" w:eastAsiaTheme="majorEastAsia" w:hAnsiTheme="majorHAnsi" w:cstheme="majorBidi"/>
        </w:rPr>
        <w:t xml:space="preserve"> where </w:t>
      </w:r>
      <w:r w:rsidRPr="4BB1C56A">
        <w:rPr>
          <w:rFonts w:asciiTheme="majorHAnsi" w:eastAsiaTheme="majorEastAsia" w:hAnsiTheme="majorHAnsi" w:cstheme="majorBidi"/>
        </w:rPr>
        <w:t xml:space="preserve">care-at-home </w:t>
      </w:r>
      <w:r w:rsidR="14F39C00" w:rsidRPr="4BB1C56A">
        <w:rPr>
          <w:rFonts w:asciiTheme="majorHAnsi" w:eastAsiaTheme="majorEastAsia" w:hAnsiTheme="majorHAnsi" w:cstheme="majorBidi"/>
        </w:rPr>
        <w:t xml:space="preserve">professionals </w:t>
      </w:r>
      <w:r w:rsidR="0885F20C" w:rsidRPr="4BB1C56A">
        <w:rPr>
          <w:rFonts w:asciiTheme="majorHAnsi" w:eastAsiaTheme="majorEastAsia" w:hAnsiTheme="majorHAnsi" w:cstheme="majorBidi"/>
        </w:rPr>
        <w:t xml:space="preserve">from around the country </w:t>
      </w:r>
      <w:r w:rsidR="14F39C00" w:rsidRPr="4BB1C56A">
        <w:rPr>
          <w:rFonts w:asciiTheme="majorHAnsi" w:eastAsiaTheme="majorEastAsia" w:hAnsiTheme="majorHAnsi" w:cstheme="majorBidi"/>
        </w:rPr>
        <w:t xml:space="preserve">meet </w:t>
      </w:r>
      <w:r w:rsidRPr="4BB1C56A">
        <w:rPr>
          <w:rFonts w:asciiTheme="majorHAnsi" w:eastAsiaTheme="majorEastAsia" w:hAnsiTheme="majorHAnsi" w:cstheme="majorBidi"/>
        </w:rPr>
        <w:t>to share ideas, explore new technologies and learn from</w:t>
      </w:r>
      <w:r w:rsidR="183A0218" w:rsidRPr="4BB1C56A">
        <w:rPr>
          <w:rFonts w:asciiTheme="majorHAnsi" w:eastAsiaTheme="majorEastAsia" w:hAnsiTheme="majorHAnsi" w:cstheme="majorBidi"/>
        </w:rPr>
        <w:t xml:space="preserve"> each other’s experiences</w:t>
      </w:r>
      <w:r w:rsidRPr="4BB1C56A">
        <w:rPr>
          <w:rFonts w:asciiTheme="majorHAnsi" w:eastAsiaTheme="majorEastAsia" w:hAnsiTheme="majorHAnsi" w:cstheme="majorBidi"/>
        </w:rPr>
        <w:t xml:space="preserve">. Over 1,000 attendees are expected, including industry experts, </w:t>
      </w:r>
      <w:r w:rsidR="6A4B6649" w:rsidRPr="4BB1C56A">
        <w:rPr>
          <w:rFonts w:asciiTheme="majorHAnsi" w:eastAsiaTheme="majorEastAsia" w:hAnsiTheme="majorHAnsi" w:cstheme="majorBidi"/>
        </w:rPr>
        <w:t>Axxess team</w:t>
      </w:r>
      <w:r w:rsidR="002E1625" w:rsidRPr="4BB1C56A">
        <w:rPr>
          <w:rFonts w:asciiTheme="majorHAnsi" w:eastAsiaTheme="majorEastAsia" w:hAnsiTheme="majorHAnsi" w:cstheme="majorBidi"/>
        </w:rPr>
        <w:t xml:space="preserve"> members</w:t>
      </w:r>
      <w:r w:rsidRPr="4BB1C56A">
        <w:rPr>
          <w:rFonts w:asciiTheme="majorHAnsi" w:eastAsiaTheme="majorEastAsia" w:hAnsiTheme="majorHAnsi" w:cstheme="majorBidi"/>
        </w:rPr>
        <w:t xml:space="preserve">, peers from organizations like ours who use Axxess solutions and others who are dedicated to improving care in the home. </w:t>
      </w:r>
    </w:p>
    <w:p w14:paraId="07C1143E" w14:textId="045CBE23" w:rsidR="41055039" w:rsidRDefault="41055039" w:rsidP="33BD25C4">
      <w:pPr>
        <w:jc w:val="both"/>
        <w:rPr>
          <w:rFonts w:asciiTheme="majorHAnsi" w:eastAsiaTheme="majorEastAsia" w:hAnsiTheme="majorHAnsi" w:cstheme="majorBidi"/>
        </w:rPr>
      </w:pPr>
      <w:r w:rsidRPr="33BD25C4">
        <w:rPr>
          <w:rFonts w:asciiTheme="majorHAnsi" w:eastAsiaTheme="majorEastAsia" w:hAnsiTheme="majorHAnsi" w:cstheme="majorBidi"/>
        </w:rPr>
        <w:t xml:space="preserve"> </w:t>
      </w:r>
    </w:p>
    <w:p w14:paraId="263A47EB" w14:textId="5520F55E" w:rsidR="41055039" w:rsidRDefault="41055039" w:rsidP="4BB1C56A">
      <w:pPr>
        <w:jc w:val="both"/>
        <w:rPr>
          <w:rFonts w:asciiTheme="majorHAnsi" w:eastAsiaTheme="majorEastAsia" w:hAnsiTheme="majorHAnsi" w:cstheme="majorBidi"/>
        </w:rPr>
      </w:pPr>
      <w:r w:rsidRPr="4BB1C56A">
        <w:rPr>
          <w:rFonts w:asciiTheme="majorHAnsi" w:eastAsiaTheme="majorEastAsia" w:hAnsiTheme="majorHAnsi" w:cstheme="majorBidi"/>
        </w:rPr>
        <w:t xml:space="preserve">The agenda includes more than 20 sessions on leadership, innovation, and the role of </w:t>
      </w:r>
      <w:r w:rsidR="00D218A9" w:rsidRPr="4BB1C56A">
        <w:rPr>
          <w:rFonts w:asciiTheme="majorHAnsi" w:eastAsiaTheme="majorEastAsia" w:hAnsiTheme="majorHAnsi" w:cstheme="majorBidi"/>
        </w:rPr>
        <w:t xml:space="preserve">technology and </w:t>
      </w:r>
      <w:r w:rsidRPr="4BB1C56A">
        <w:rPr>
          <w:rFonts w:asciiTheme="majorHAnsi" w:eastAsiaTheme="majorEastAsia" w:hAnsiTheme="majorHAnsi" w:cstheme="majorBidi"/>
        </w:rPr>
        <w:t>AI in healthcare. I’ll be able to choose sessions that align with our team’s goals and my own professional development priorities, including interactive workshops and educational sessions.</w:t>
      </w:r>
    </w:p>
    <w:p w14:paraId="37196557" w14:textId="22CF623A" w:rsidR="33BD25C4" w:rsidRDefault="33BD25C4" w:rsidP="33BD25C4">
      <w:pPr>
        <w:rPr>
          <w:rFonts w:asciiTheme="majorHAnsi" w:eastAsiaTheme="majorEastAsia" w:hAnsiTheme="majorHAnsi" w:cstheme="majorBidi"/>
        </w:rPr>
      </w:pPr>
    </w:p>
    <w:p w14:paraId="28875BEE" w14:textId="77777777" w:rsidR="006F1ED9" w:rsidRPr="00236C1C" w:rsidRDefault="006F1ED9" w:rsidP="5F226C58">
      <w:pPr>
        <w:rPr>
          <w:rFonts w:asciiTheme="majorHAnsi" w:eastAsiaTheme="majorEastAsia" w:hAnsiTheme="majorHAnsi" w:cstheme="majorBidi"/>
        </w:rPr>
      </w:pPr>
    </w:p>
    <w:p w14:paraId="768E08E5" w14:textId="77FFE42E" w:rsidR="006F1ED9" w:rsidRPr="00272F0D" w:rsidRDefault="006F1ED9" w:rsidP="5F226C58">
      <w:pPr>
        <w:rPr>
          <w:rFonts w:asciiTheme="majorHAnsi" w:eastAsiaTheme="majorEastAsia" w:hAnsiTheme="majorHAnsi" w:cstheme="majorBidi"/>
          <w:b/>
          <w:bCs/>
        </w:rPr>
      </w:pPr>
      <w:r w:rsidRPr="04C6DE2E">
        <w:rPr>
          <w:rFonts w:asciiTheme="majorHAnsi" w:eastAsiaTheme="majorEastAsia" w:hAnsiTheme="majorHAnsi" w:cstheme="majorBidi"/>
          <w:b/>
          <w:bCs/>
        </w:rPr>
        <w:t>What I’ll gain by attending AGILE 2026</w:t>
      </w:r>
      <w:r w:rsidR="4B612903" w:rsidRPr="04C6DE2E">
        <w:rPr>
          <w:rFonts w:asciiTheme="majorHAnsi" w:eastAsiaTheme="majorEastAsia" w:hAnsiTheme="majorHAnsi" w:cstheme="majorBidi"/>
          <w:b/>
          <w:bCs/>
        </w:rPr>
        <w:t>:</w:t>
      </w:r>
      <w:r>
        <w:br/>
      </w:r>
    </w:p>
    <w:p w14:paraId="7EB22206" w14:textId="09029313" w:rsidR="14A94603" w:rsidRDefault="14A94603" w:rsidP="33BD25C4">
      <w:pPr>
        <w:jc w:val="both"/>
        <w:rPr>
          <w:rFonts w:asciiTheme="majorHAnsi" w:eastAsiaTheme="majorEastAsia" w:hAnsiTheme="majorHAnsi" w:cstheme="majorBidi"/>
        </w:rPr>
      </w:pPr>
      <w:r w:rsidRPr="33BD25C4">
        <w:rPr>
          <w:rFonts w:asciiTheme="majorHAnsi" w:eastAsiaTheme="majorEastAsia" w:hAnsiTheme="majorHAnsi" w:cstheme="majorBidi"/>
        </w:rPr>
        <w:t>AGILE 2026 will help me build relevant skills, stay current with industry trends, and</w:t>
      </w:r>
      <w:r w:rsidR="2A1E625E" w:rsidRPr="33BD25C4">
        <w:rPr>
          <w:rFonts w:asciiTheme="majorHAnsi" w:eastAsiaTheme="majorEastAsia" w:hAnsiTheme="majorHAnsi" w:cstheme="majorBidi"/>
        </w:rPr>
        <w:t xml:space="preserve"> make meaningful connections that can directly benefit our organization. By attending</w:t>
      </w:r>
      <w:r w:rsidRPr="33BD25C4">
        <w:rPr>
          <w:rFonts w:asciiTheme="majorHAnsi" w:eastAsiaTheme="majorEastAsia" w:hAnsiTheme="majorHAnsi" w:cstheme="majorBidi"/>
        </w:rPr>
        <w:t>, I will:</w:t>
      </w:r>
    </w:p>
    <w:p w14:paraId="21C1F8B7" w14:textId="510ABC86" w:rsidR="04C6DE2E" w:rsidRDefault="04C6DE2E" w:rsidP="33BD25C4">
      <w:pPr>
        <w:jc w:val="both"/>
        <w:rPr>
          <w:rFonts w:asciiTheme="majorHAnsi" w:eastAsiaTheme="majorEastAsia" w:hAnsiTheme="majorHAnsi" w:cstheme="majorBidi"/>
        </w:rPr>
      </w:pPr>
    </w:p>
    <w:p w14:paraId="6BC43DBE" w14:textId="7B41CDBD" w:rsidR="006F1ED9" w:rsidRPr="00272F0D" w:rsidRDefault="318B81B0" w:rsidP="33BD25C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4C6DE2E">
        <w:rPr>
          <w:rFonts w:asciiTheme="majorHAnsi" w:eastAsiaTheme="majorEastAsia" w:hAnsiTheme="majorHAnsi" w:cstheme="majorBidi"/>
          <w:sz w:val="24"/>
          <w:szCs w:val="24"/>
        </w:rPr>
        <w:t>Be eligible to e</w:t>
      </w:r>
      <w:r w:rsidR="006F1ED9" w:rsidRPr="04C6DE2E">
        <w:rPr>
          <w:rFonts w:asciiTheme="majorHAnsi" w:eastAsiaTheme="majorEastAsia" w:hAnsiTheme="majorHAnsi" w:cstheme="majorBidi"/>
          <w:sz w:val="24"/>
          <w:szCs w:val="24"/>
        </w:rPr>
        <w:t xml:space="preserve">arn </w:t>
      </w:r>
      <w:r w:rsidR="006F1ED9" w:rsidRPr="04C6DE2E">
        <w:rPr>
          <w:rFonts w:asciiTheme="majorHAnsi" w:eastAsiaTheme="majorEastAsia" w:hAnsiTheme="majorHAnsi" w:cstheme="majorBidi"/>
          <w:b/>
          <w:bCs/>
          <w:sz w:val="24"/>
          <w:szCs w:val="24"/>
        </w:rPr>
        <w:t>up to 2</w:t>
      </w:r>
      <w:r w:rsidR="50B51E86" w:rsidRPr="04C6DE2E">
        <w:rPr>
          <w:rFonts w:asciiTheme="majorHAnsi" w:eastAsiaTheme="majorEastAsia" w:hAnsiTheme="majorHAnsi" w:cstheme="majorBidi"/>
          <w:b/>
          <w:bCs/>
          <w:sz w:val="24"/>
          <w:szCs w:val="24"/>
        </w:rPr>
        <w:t>4</w:t>
      </w:r>
      <w:r w:rsidR="006F1ED9" w:rsidRPr="04C6DE2E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clinical continuing education units (CEUs) </w:t>
      </w:r>
      <w:r w:rsidR="006F1ED9" w:rsidRPr="04C6DE2E">
        <w:rPr>
          <w:rFonts w:asciiTheme="majorHAnsi" w:eastAsiaTheme="majorEastAsia" w:hAnsiTheme="majorHAnsi" w:cstheme="majorBidi"/>
          <w:sz w:val="24"/>
          <w:szCs w:val="24"/>
        </w:rPr>
        <w:t>to support my professional development</w:t>
      </w:r>
    </w:p>
    <w:p w14:paraId="2865C4C8" w14:textId="272C2076" w:rsidR="23F43FF0" w:rsidRDefault="23F43FF0" w:rsidP="33BD25C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ajorHAnsi" w:eastAsiaTheme="majorEastAsia" w:hAnsiTheme="majorHAnsi" w:cstheme="majorBidi"/>
        </w:rPr>
      </w:pPr>
      <w:r w:rsidRPr="33BD25C4">
        <w:rPr>
          <w:rFonts w:asciiTheme="majorHAnsi" w:eastAsiaTheme="majorEastAsia" w:hAnsiTheme="majorHAnsi" w:cstheme="majorBidi"/>
          <w:sz w:val="24"/>
          <w:szCs w:val="24"/>
        </w:rPr>
        <w:t>Participate in interactive workshops and educational sessions </w:t>
      </w:r>
      <w:r w:rsidR="5D30C1D1" w:rsidRPr="33BD25C4">
        <w:rPr>
          <w:rFonts w:asciiTheme="majorHAnsi" w:eastAsiaTheme="majorEastAsia" w:hAnsiTheme="majorHAnsi" w:cstheme="majorBidi"/>
          <w:sz w:val="24"/>
          <w:szCs w:val="24"/>
        </w:rPr>
        <w:t>relevant to care-at-home roles</w:t>
      </w:r>
    </w:p>
    <w:p w14:paraId="1FC998F5" w14:textId="77777777" w:rsidR="006F1ED9" w:rsidRPr="00272F0D" w:rsidRDefault="006F1ED9" w:rsidP="33BD25C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F226C58">
        <w:rPr>
          <w:rFonts w:asciiTheme="majorHAnsi" w:eastAsiaTheme="majorEastAsia" w:hAnsiTheme="majorHAnsi" w:cstheme="majorBidi"/>
          <w:sz w:val="24"/>
          <w:szCs w:val="24"/>
        </w:rPr>
        <w:t>Meet 1:1 with Axxess solution experts to ask questions and learn best practices</w:t>
      </w:r>
    </w:p>
    <w:p w14:paraId="13FDBBE2" w14:textId="022E7DE3" w:rsidR="006F1ED9" w:rsidRPr="00272F0D" w:rsidRDefault="23F43FF0" w:rsidP="33BD25C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33BD25C4">
        <w:rPr>
          <w:rFonts w:asciiTheme="majorHAnsi" w:eastAsiaTheme="majorEastAsia" w:hAnsiTheme="majorHAnsi" w:cstheme="majorBidi"/>
          <w:sz w:val="24"/>
          <w:szCs w:val="24"/>
        </w:rPr>
        <w:t>Hear</w:t>
      </w:r>
      <w:r w:rsidR="006F1ED9" w:rsidRPr="04C6DE2E">
        <w:rPr>
          <w:rFonts w:asciiTheme="majorHAnsi" w:eastAsiaTheme="majorEastAsia" w:hAnsiTheme="majorHAnsi" w:cstheme="majorBidi"/>
          <w:sz w:val="24"/>
          <w:szCs w:val="24"/>
        </w:rPr>
        <w:t xml:space="preserve"> from the CEO, keynote speaker and industry leaders on the future of healthcare</w:t>
      </w:r>
    </w:p>
    <w:p w14:paraId="081D8E85" w14:textId="0C025567" w:rsidR="006F1ED9" w:rsidRPr="00272F0D" w:rsidRDefault="006F1ED9" w:rsidP="33BD25C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F226C58">
        <w:rPr>
          <w:rFonts w:asciiTheme="majorHAnsi" w:eastAsiaTheme="majorEastAsia" w:hAnsiTheme="majorHAnsi" w:cstheme="majorBidi"/>
          <w:sz w:val="24"/>
          <w:szCs w:val="24"/>
        </w:rPr>
        <w:t>Get early access to new feature releases and AI</w:t>
      </w:r>
      <w:r w:rsidR="58EE8B7C" w:rsidRPr="33BD25C4">
        <w:rPr>
          <w:rFonts w:asciiTheme="majorHAnsi" w:eastAsiaTheme="majorEastAsia" w:hAnsiTheme="majorHAnsi" w:cstheme="majorBidi"/>
          <w:sz w:val="24"/>
          <w:szCs w:val="24"/>
        </w:rPr>
        <w:t xml:space="preserve"> functionalities</w:t>
      </w:r>
      <w:r w:rsidRPr="5F226C58">
        <w:rPr>
          <w:rFonts w:asciiTheme="majorHAnsi" w:eastAsiaTheme="majorEastAsia" w:hAnsiTheme="majorHAnsi" w:cstheme="majorBidi"/>
          <w:sz w:val="24"/>
          <w:szCs w:val="24"/>
        </w:rPr>
        <w:t>, including live demonstrations</w:t>
      </w:r>
    </w:p>
    <w:p w14:paraId="70F12761" w14:textId="64E8541D" w:rsidR="006F1ED9" w:rsidRPr="00272F0D" w:rsidRDefault="006F1ED9" w:rsidP="33BD25C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4C6DE2E">
        <w:rPr>
          <w:rFonts w:asciiTheme="majorHAnsi" w:eastAsiaTheme="majorEastAsia" w:hAnsiTheme="majorHAnsi" w:cstheme="majorBidi"/>
          <w:sz w:val="24"/>
          <w:szCs w:val="24"/>
        </w:rPr>
        <w:t xml:space="preserve">Attend the AGILE Distinction Awards to learn from </w:t>
      </w:r>
      <w:r w:rsidR="1DFF026E" w:rsidRPr="33BD25C4">
        <w:rPr>
          <w:rFonts w:asciiTheme="majorHAnsi" w:eastAsiaTheme="majorEastAsia" w:hAnsiTheme="majorHAnsi" w:cstheme="majorBidi"/>
          <w:sz w:val="24"/>
          <w:szCs w:val="24"/>
        </w:rPr>
        <w:t xml:space="preserve">top performing </w:t>
      </w:r>
      <w:r w:rsidRPr="04C6DE2E">
        <w:rPr>
          <w:rFonts w:asciiTheme="majorHAnsi" w:eastAsiaTheme="majorEastAsia" w:hAnsiTheme="majorHAnsi" w:cstheme="majorBidi"/>
          <w:sz w:val="24"/>
          <w:szCs w:val="24"/>
        </w:rPr>
        <w:t xml:space="preserve">organizations </w:t>
      </w:r>
    </w:p>
    <w:p w14:paraId="129002DD" w14:textId="037E6824" w:rsidR="006F1ED9" w:rsidRDefault="23F43FF0" w:rsidP="33BD25C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33BD25C4">
        <w:rPr>
          <w:rFonts w:asciiTheme="majorHAnsi" w:eastAsiaTheme="majorEastAsia" w:hAnsiTheme="majorHAnsi" w:cstheme="majorBidi"/>
          <w:sz w:val="24"/>
          <w:szCs w:val="24"/>
        </w:rPr>
        <w:t>Network with peers and industry professionals to exchange ideas and build</w:t>
      </w:r>
      <w:r w:rsidR="3E3DAB5C" w:rsidRPr="33BD25C4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33BD25C4">
        <w:rPr>
          <w:rFonts w:asciiTheme="majorHAnsi" w:eastAsiaTheme="majorEastAsia" w:hAnsiTheme="majorHAnsi" w:cstheme="majorBidi"/>
          <w:sz w:val="24"/>
          <w:szCs w:val="24"/>
        </w:rPr>
        <w:t>connections</w:t>
      </w:r>
    </w:p>
    <w:p w14:paraId="12BD970D" w14:textId="02CB4F0E" w:rsidR="006F1ED9" w:rsidRDefault="48BF0A75" w:rsidP="4BB1C56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4BB1C56A">
        <w:rPr>
          <w:rFonts w:asciiTheme="majorHAnsi" w:eastAsiaTheme="majorEastAsia" w:hAnsiTheme="majorHAnsi" w:cstheme="majorBidi"/>
          <w:sz w:val="24"/>
          <w:szCs w:val="24"/>
        </w:rPr>
        <w:t xml:space="preserve">Learn about new tools and solutions at the AGILE Innovation Showcase that </w:t>
      </w:r>
      <w:r w:rsidR="00AE32EE" w:rsidRPr="4BB1C56A">
        <w:rPr>
          <w:rFonts w:asciiTheme="majorHAnsi" w:eastAsiaTheme="majorEastAsia" w:hAnsiTheme="majorHAnsi" w:cstheme="majorBidi"/>
          <w:sz w:val="24"/>
          <w:szCs w:val="24"/>
        </w:rPr>
        <w:t xml:space="preserve">will help our </w:t>
      </w:r>
      <w:r w:rsidR="00843833" w:rsidRPr="4BB1C56A">
        <w:rPr>
          <w:rFonts w:asciiTheme="majorHAnsi" w:eastAsiaTheme="majorEastAsia" w:hAnsiTheme="majorHAnsi" w:cstheme="majorBidi"/>
          <w:sz w:val="24"/>
          <w:szCs w:val="24"/>
        </w:rPr>
        <w:t xml:space="preserve">organization streamline operations, </w:t>
      </w:r>
      <w:r w:rsidR="005F5D73" w:rsidRPr="4BB1C56A">
        <w:rPr>
          <w:rFonts w:asciiTheme="majorHAnsi" w:eastAsiaTheme="majorEastAsia" w:hAnsiTheme="majorHAnsi" w:cstheme="majorBidi"/>
          <w:sz w:val="24"/>
          <w:szCs w:val="24"/>
        </w:rPr>
        <w:t xml:space="preserve">decrease costs, grow revenue, ensure compliance and </w:t>
      </w:r>
      <w:r w:rsidR="00851AC7" w:rsidRPr="4BB1C56A">
        <w:rPr>
          <w:rFonts w:asciiTheme="majorHAnsi" w:eastAsiaTheme="majorEastAsia" w:hAnsiTheme="majorHAnsi" w:cstheme="majorBidi"/>
          <w:sz w:val="24"/>
          <w:szCs w:val="24"/>
        </w:rPr>
        <w:t>improve patient outcomes</w:t>
      </w:r>
    </w:p>
    <w:p w14:paraId="0AB72D86" w14:textId="44913687" w:rsidR="006F1ED9" w:rsidRDefault="006F1ED9" w:rsidP="4BB1C56A">
      <w:pPr>
        <w:spacing w:after="200" w:line="276" w:lineRule="auto"/>
        <w:rPr>
          <w:rFonts w:asciiTheme="majorHAnsi" w:eastAsiaTheme="majorEastAsia" w:hAnsiTheme="majorHAnsi" w:cstheme="majorBidi"/>
        </w:rPr>
      </w:pPr>
      <w:r w:rsidRPr="4BB1C56A">
        <w:rPr>
          <w:rFonts w:asciiTheme="majorHAnsi" w:eastAsiaTheme="majorEastAsia" w:hAnsiTheme="majorHAnsi" w:cstheme="majorBidi"/>
          <w:b/>
          <w:bCs/>
        </w:rPr>
        <w:lastRenderedPageBreak/>
        <w:t>What I’ll focus on for our organization</w:t>
      </w:r>
      <w:r w:rsidR="2FFF06B9" w:rsidRPr="4BB1C56A">
        <w:rPr>
          <w:rFonts w:asciiTheme="majorHAnsi" w:eastAsiaTheme="majorEastAsia" w:hAnsiTheme="majorHAnsi" w:cstheme="majorBidi"/>
          <w:b/>
          <w:bCs/>
        </w:rPr>
        <w:t>:</w:t>
      </w:r>
      <w:r>
        <w:br/>
      </w:r>
      <w:r>
        <w:br/>
      </w:r>
      <w:r w:rsidRPr="4BB1C56A">
        <w:rPr>
          <w:rFonts w:asciiTheme="majorHAnsi" w:eastAsiaTheme="majorEastAsia" w:hAnsiTheme="majorHAnsi" w:cstheme="majorBidi"/>
        </w:rPr>
        <w:t>I’ll be looking for ideas and best practices that could help with these projects and initiatives:</w:t>
      </w:r>
    </w:p>
    <w:p w14:paraId="305A30D1" w14:textId="77777777" w:rsidR="006F1ED9" w:rsidRPr="00272F0D" w:rsidRDefault="006F1ED9" w:rsidP="33BD25C4">
      <w:pPr>
        <w:jc w:val="both"/>
        <w:rPr>
          <w:rFonts w:asciiTheme="majorHAnsi" w:eastAsiaTheme="majorEastAsia" w:hAnsiTheme="majorHAnsi" w:cstheme="majorBidi"/>
          <w:highlight w:val="yellow"/>
        </w:rPr>
      </w:pPr>
      <w:r w:rsidRPr="5F226C58">
        <w:rPr>
          <w:rFonts w:asciiTheme="majorHAnsi" w:eastAsiaTheme="majorEastAsia" w:hAnsiTheme="majorHAnsi" w:cstheme="majorBidi"/>
          <w:highlight w:val="yellow"/>
        </w:rPr>
        <w:t>[Insert project or initiative]</w:t>
      </w:r>
    </w:p>
    <w:p w14:paraId="0F0F922D" w14:textId="77777777" w:rsidR="006F1ED9" w:rsidRPr="00272F0D" w:rsidRDefault="006F1ED9" w:rsidP="33BD25C4">
      <w:pPr>
        <w:jc w:val="both"/>
        <w:rPr>
          <w:rFonts w:asciiTheme="majorHAnsi" w:eastAsiaTheme="majorEastAsia" w:hAnsiTheme="majorHAnsi" w:cstheme="majorBidi"/>
          <w:highlight w:val="yellow"/>
        </w:rPr>
      </w:pPr>
      <w:r w:rsidRPr="5F226C58">
        <w:rPr>
          <w:rFonts w:asciiTheme="majorHAnsi" w:eastAsiaTheme="majorEastAsia" w:hAnsiTheme="majorHAnsi" w:cstheme="majorBidi"/>
          <w:highlight w:val="yellow"/>
        </w:rPr>
        <w:t>[Insert project or initiative]</w:t>
      </w:r>
    </w:p>
    <w:p w14:paraId="6367906D" w14:textId="77777777" w:rsidR="006F1ED9" w:rsidRDefault="006F1ED9" w:rsidP="33BD25C4">
      <w:pPr>
        <w:jc w:val="both"/>
        <w:rPr>
          <w:rFonts w:asciiTheme="majorHAnsi" w:eastAsiaTheme="majorEastAsia" w:hAnsiTheme="majorHAnsi" w:cstheme="majorBidi"/>
          <w:highlight w:val="yellow"/>
        </w:rPr>
      </w:pPr>
      <w:r w:rsidRPr="5F226C58">
        <w:rPr>
          <w:rFonts w:asciiTheme="majorHAnsi" w:eastAsiaTheme="majorEastAsia" w:hAnsiTheme="majorHAnsi" w:cstheme="majorBidi"/>
          <w:highlight w:val="yellow"/>
        </w:rPr>
        <w:t>[Insert project or initiative]</w:t>
      </w:r>
    </w:p>
    <w:p w14:paraId="769E5653" w14:textId="77777777" w:rsidR="006F1ED9" w:rsidRPr="00272F0D" w:rsidRDefault="006F1ED9" w:rsidP="5F226C58">
      <w:pPr>
        <w:rPr>
          <w:rFonts w:asciiTheme="majorHAnsi" w:eastAsiaTheme="majorEastAsia" w:hAnsiTheme="majorHAnsi" w:cstheme="majorBidi"/>
        </w:rPr>
      </w:pPr>
    </w:p>
    <w:p w14:paraId="3F904C79" w14:textId="3B45488C" w:rsidR="006F1ED9" w:rsidRPr="00CD7BE4" w:rsidRDefault="006F1ED9" w:rsidP="5F226C58">
      <w:pPr>
        <w:rPr>
          <w:rFonts w:asciiTheme="majorHAnsi" w:eastAsiaTheme="majorEastAsia" w:hAnsiTheme="majorHAnsi" w:cstheme="majorBidi"/>
        </w:rPr>
      </w:pPr>
      <w:r w:rsidRPr="5F226C58">
        <w:rPr>
          <w:rFonts w:asciiTheme="majorHAnsi" w:eastAsiaTheme="majorEastAsia" w:hAnsiTheme="majorHAnsi" w:cstheme="majorBidi"/>
          <w:b/>
          <w:bCs/>
        </w:rPr>
        <w:t>Estimated Costs:</w:t>
      </w:r>
      <w:r>
        <w:br/>
      </w:r>
    </w:p>
    <w:tbl>
      <w:tblPr>
        <w:tblStyle w:val="TableGrid"/>
        <w:tblW w:w="9495" w:type="dxa"/>
        <w:jc w:val="right"/>
        <w:tblLook w:val="04A0" w:firstRow="1" w:lastRow="0" w:firstColumn="1" w:lastColumn="0" w:noHBand="0" w:noVBand="1"/>
      </w:tblPr>
      <w:tblGrid>
        <w:gridCol w:w="2880"/>
        <w:gridCol w:w="2880"/>
        <w:gridCol w:w="3735"/>
      </w:tblGrid>
      <w:tr w:rsidR="006F1ED9" w14:paraId="2572FA54" w14:textId="77777777" w:rsidTr="04C6DE2E">
        <w:trPr>
          <w:jc w:val="right"/>
        </w:trPr>
        <w:tc>
          <w:tcPr>
            <w:tcW w:w="2880" w:type="dxa"/>
            <w:shd w:val="clear" w:color="auto" w:fill="B9243C"/>
            <w:vAlign w:val="center"/>
          </w:tcPr>
          <w:p w14:paraId="1DD2A67C" w14:textId="77777777" w:rsidR="006F1ED9" w:rsidRPr="00CD7BE4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F226C5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Expense Type</w:t>
            </w:r>
          </w:p>
        </w:tc>
        <w:tc>
          <w:tcPr>
            <w:tcW w:w="2880" w:type="dxa"/>
            <w:shd w:val="clear" w:color="auto" w:fill="B9243C"/>
            <w:vAlign w:val="center"/>
          </w:tcPr>
          <w:p w14:paraId="3549A56F" w14:textId="77777777" w:rsidR="006F1ED9" w:rsidRPr="00CD7BE4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F226C5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Estimated Cost</w:t>
            </w:r>
          </w:p>
        </w:tc>
        <w:tc>
          <w:tcPr>
            <w:tcW w:w="3735" w:type="dxa"/>
            <w:shd w:val="clear" w:color="auto" w:fill="B9243C"/>
            <w:vAlign w:val="center"/>
          </w:tcPr>
          <w:p w14:paraId="655C6A9D" w14:textId="77777777" w:rsidR="006F1ED9" w:rsidRPr="00CD7BE4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F226C58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6F1ED9" w14:paraId="530EFA11" w14:textId="77777777" w:rsidTr="04C6DE2E">
        <w:trPr>
          <w:trHeight w:val="495"/>
          <w:jc w:val="right"/>
        </w:trPr>
        <w:tc>
          <w:tcPr>
            <w:tcW w:w="2880" w:type="dxa"/>
            <w:vAlign w:val="center"/>
          </w:tcPr>
          <w:p w14:paraId="46FA3491" w14:textId="77777777" w:rsidR="006F1ED9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</w:rPr>
              <w:t>Conference Registration</w:t>
            </w:r>
          </w:p>
        </w:tc>
        <w:tc>
          <w:tcPr>
            <w:tcW w:w="2880" w:type="dxa"/>
            <w:vAlign w:val="center"/>
          </w:tcPr>
          <w:p w14:paraId="07BF8688" w14:textId="77777777" w:rsidR="006F1ED9" w:rsidRPr="00272F0D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  <w:t>$</w:t>
            </w:r>
          </w:p>
        </w:tc>
        <w:tc>
          <w:tcPr>
            <w:tcW w:w="3735" w:type="dxa"/>
            <w:vAlign w:val="center"/>
          </w:tcPr>
          <w:p w14:paraId="5998B971" w14:textId="1FA0CDC8" w:rsidR="006F1ED9" w:rsidRPr="00476751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</w:rPr>
              <w:t>$649</w:t>
            </w:r>
            <w:r w:rsidR="29EF769F" w:rsidRPr="5F226C5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– Early bird admission</w:t>
            </w:r>
            <w:r w:rsidR="1446EC56" w:rsidRPr="5F226C5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6F1ED9" w14:paraId="342D7586" w14:textId="77777777" w:rsidTr="04C6DE2E">
        <w:trPr>
          <w:jc w:val="right"/>
        </w:trPr>
        <w:tc>
          <w:tcPr>
            <w:tcW w:w="2880" w:type="dxa"/>
            <w:vAlign w:val="center"/>
          </w:tcPr>
          <w:p w14:paraId="009C4C1A" w14:textId="77777777" w:rsidR="006F1ED9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</w:rPr>
              <w:t>Lodging</w:t>
            </w:r>
          </w:p>
        </w:tc>
        <w:tc>
          <w:tcPr>
            <w:tcW w:w="2880" w:type="dxa"/>
            <w:vAlign w:val="center"/>
          </w:tcPr>
          <w:p w14:paraId="07202078" w14:textId="77777777" w:rsidR="006F1ED9" w:rsidRPr="00272F0D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  <w:t>$</w:t>
            </w:r>
          </w:p>
        </w:tc>
        <w:tc>
          <w:tcPr>
            <w:tcW w:w="3735" w:type="dxa"/>
            <w:vAlign w:val="center"/>
          </w:tcPr>
          <w:p w14:paraId="768A56B6" w14:textId="7F39AD4D" w:rsidR="006F1ED9" w:rsidRPr="00476751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Room </w:t>
            </w:r>
            <w:proofErr w:type="gramStart"/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block</w:t>
            </w:r>
            <w:proofErr w:type="gramEnd"/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available at </w:t>
            </w:r>
            <w:r w:rsidR="00662E33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t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he Fairmont Dallas, rooms starting at $215 per night. All group rates are available until April 13, 2026.</w:t>
            </w:r>
          </w:p>
        </w:tc>
      </w:tr>
      <w:tr w:rsidR="006F1ED9" w14:paraId="118A545F" w14:textId="77777777" w:rsidTr="04C6DE2E">
        <w:trPr>
          <w:jc w:val="right"/>
        </w:trPr>
        <w:tc>
          <w:tcPr>
            <w:tcW w:w="2880" w:type="dxa"/>
            <w:vAlign w:val="center"/>
          </w:tcPr>
          <w:p w14:paraId="4F02590A" w14:textId="77777777" w:rsidR="006F1ED9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</w:rPr>
              <w:t>Meals</w:t>
            </w:r>
          </w:p>
        </w:tc>
        <w:tc>
          <w:tcPr>
            <w:tcW w:w="2880" w:type="dxa"/>
            <w:vAlign w:val="center"/>
          </w:tcPr>
          <w:p w14:paraId="281EB9CA" w14:textId="77777777" w:rsidR="006F1ED9" w:rsidRPr="00272F0D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  <w:t>$</w:t>
            </w:r>
          </w:p>
        </w:tc>
        <w:tc>
          <w:tcPr>
            <w:tcW w:w="3735" w:type="dxa"/>
            <w:vAlign w:val="center"/>
          </w:tcPr>
          <w:p w14:paraId="3DCA361A" w14:textId="0074939D" w:rsidR="006F1ED9" w:rsidRPr="00476751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Conference registration </w:t>
            </w:r>
            <w:proofErr w:type="gramStart"/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includes</w:t>
            </w:r>
            <w:r w:rsidR="3414FF74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:</w:t>
            </w:r>
            <w:proofErr w:type="gramEnd"/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breakfast on Tuesday and Wednesday</w:t>
            </w:r>
            <w:r w:rsidR="42816642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; 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lunch on Tuesday and Wednesday</w:t>
            </w:r>
            <w:r w:rsidR="5A81C4C7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;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heavy hors d’oeuvres on Monday and Tuesday evening</w:t>
            </w:r>
            <w:r w:rsidR="763B9D25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.</w:t>
            </w:r>
          </w:p>
        </w:tc>
      </w:tr>
      <w:tr w:rsidR="006F1ED9" w14:paraId="037CF00C" w14:textId="77777777" w:rsidTr="04C6DE2E">
        <w:trPr>
          <w:jc w:val="right"/>
        </w:trPr>
        <w:tc>
          <w:tcPr>
            <w:tcW w:w="2880" w:type="dxa"/>
            <w:vAlign w:val="center"/>
          </w:tcPr>
          <w:p w14:paraId="02D37A96" w14:textId="77777777" w:rsidR="006F1ED9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</w:rPr>
              <w:t>Airfare</w:t>
            </w:r>
          </w:p>
        </w:tc>
        <w:tc>
          <w:tcPr>
            <w:tcW w:w="2880" w:type="dxa"/>
            <w:vAlign w:val="center"/>
          </w:tcPr>
          <w:p w14:paraId="06127735" w14:textId="77777777" w:rsidR="006F1ED9" w:rsidRPr="00272F0D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  <w:t>$</w:t>
            </w:r>
          </w:p>
        </w:tc>
        <w:tc>
          <w:tcPr>
            <w:tcW w:w="3735" w:type="dxa"/>
            <w:vAlign w:val="center"/>
          </w:tcPr>
          <w:p w14:paraId="0D73CDE7" w14:textId="1608513E" w:rsidR="006F1ED9" w:rsidRPr="00476751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Dallas Love Field (DAL) – 5.8 miles from </w:t>
            </w:r>
            <w:r w:rsidR="3183A014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t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he Fairmont </w:t>
            </w:r>
            <w:r w:rsidR="5864522D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Dallas</w:t>
            </w:r>
            <w:r>
              <w:br/>
            </w:r>
            <w:r>
              <w:br/>
            </w:r>
            <w:proofErr w:type="spellStart"/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Dallas</w:t>
            </w:r>
            <w:proofErr w:type="spellEnd"/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Fort Worth International Airport (DFW) – 19.2 miles from </w:t>
            </w:r>
            <w:r w:rsidR="075DEF48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t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he Fairmont </w:t>
            </w:r>
            <w:r w:rsidR="60A4C94E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Dallas</w:t>
            </w:r>
          </w:p>
          <w:p w14:paraId="2EAED061" w14:textId="77777777" w:rsidR="006F1ED9" w:rsidRPr="00476751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6F1ED9" w14:paraId="5A2C9195" w14:textId="77777777" w:rsidTr="04C6DE2E">
        <w:trPr>
          <w:jc w:val="right"/>
        </w:trPr>
        <w:tc>
          <w:tcPr>
            <w:tcW w:w="2880" w:type="dxa"/>
            <w:vAlign w:val="center"/>
          </w:tcPr>
          <w:p w14:paraId="6B11AD2C" w14:textId="77777777" w:rsidR="006F1ED9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</w:rPr>
              <w:t>Ground Transportation</w:t>
            </w:r>
          </w:p>
        </w:tc>
        <w:tc>
          <w:tcPr>
            <w:tcW w:w="2880" w:type="dxa"/>
            <w:vAlign w:val="center"/>
          </w:tcPr>
          <w:p w14:paraId="202D6B02" w14:textId="77777777" w:rsidR="006F1ED9" w:rsidRPr="00272F0D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  <w:t>$</w:t>
            </w:r>
          </w:p>
        </w:tc>
        <w:tc>
          <w:tcPr>
            <w:tcW w:w="3735" w:type="dxa"/>
            <w:vAlign w:val="center"/>
          </w:tcPr>
          <w:p w14:paraId="096EEAE5" w14:textId="175F67CE" w:rsidR="006F1ED9" w:rsidRPr="00476751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Rideshare from DAL to </w:t>
            </w:r>
            <w:r w:rsidR="696663AE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t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he Fairmont </w:t>
            </w:r>
            <w:r w:rsidR="71FB7C47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Dallas 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– Approx $20 </w:t>
            </w:r>
            <w:r>
              <w:br/>
            </w:r>
          </w:p>
          <w:p w14:paraId="7F360B62" w14:textId="43518046" w:rsidR="006F1ED9" w:rsidRPr="00476751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Rideshare from DFW to </w:t>
            </w:r>
            <w:r w:rsidR="4A482BE6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t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he Fairmont</w:t>
            </w:r>
            <w:r w:rsidR="5DAD90A9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Dallas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– Approx $50 </w:t>
            </w:r>
          </w:p>
          <w:p w14:paraId="575FB7A5" w14:textId="41714D09" w:rsidR="006F1ED9" w:rsidRPr="00476751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br/>
            </w:r>
            <w:r w:rsidR="5F453DCC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The AGILE Red Party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at</w:t>
            </w:r>
            <w:r w:rsidR="6D4F9923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the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Dallas Museum of Art – 0.2 miles from the Fairmont/5-minute walk </w:t>
            </w:r>
          </w:p>
          <w:p w14:paraId="0E151753" w14:textId="77777777" w:rsidR="006F1ED9" w:rsidRPr="00476751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6F1ED9" w14:paraId="6F350F3C" w14:textId="77777777" w:rsidTr="04C6DE2E">
        <w:trPr>
          <w:trHeight w:val="480"/>
          <w:jc w:val="right"/>
        </w:trPr>
        <w:tc>
          <w:tcPr>
            <w:tcW w:w="2880" w:type="dxa"/>
            <w:vAlign w:val="center"/>
          </w:tcPr>
          <w:p w14:paraId="7AD9F770" w14:textId="77777777" w:rsidR="006F1ED9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</w:rPr>
              <w:t>Other (rentals car, parking, incidentals, etc.)</w:t>
            </w:r>
          </w:p>
        </w:tc>
        <w:tc>
          <w:tcPr>
            <w:tcW w:w="2880" w:type="dxa"/>
            <w:vAlign w:val="center"/>
          </w:tcPr>
          <w:p w14:paraId="16F67CA0" w14:textId="77777777" w:rsidR="006F1ED9" w:rsidRPr="00272F0D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  <w:t>$</w:t>
            </w:r>
          </w:p>
        </w:tc>
        <w:tc>
          <w:tcPr>
            <w:tcW w:w="3735" w:type="dxa"/>
            <w:vAlign w:val="center"/>
          </w:tcPr>
          <w:p w14:paraId="0917C033" w14:textId="7B1CBC24" w:rsidR="006F1ED9" w:rsidRPr="00476751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Fairmont </w:t>
            </w:r>
            <w:r w:rsidR="2A6DB648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Dallas 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Valet </w:t>
            </w:r>
            <w:r w:rsidR="4062D6BD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(optional) </w:t>
            </w: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– Daily Overnight $54.00</w:t>
            </w:r>
          </w:p>
        </w:tc>
      </w:tr>
      <w:tr w:rsidR="006F1ED9" w14:paraId="46B94A3B" w14:textId="77777777" w:rsidTr="04C6DE2E">
        <w:trPr>
          <w:trHeight w:val="510"/>
          <w:jc w:val="right"/>
        </w:trPr>
        <w:tc>
          <w:tcPr>
            <w:tcW w:w="2880" w:type="dxa"/>
            <w:vAlign w:val="center"/>
          </w:tcPr>
          <w:p w14:paraId="61965F2A" w14:textId="77A9A8FE" w:rsidR="006F1ED9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>Total</w:t>
            </w:r>
            <w:r w:rsidR="5320FE6A" w:rsidRPr="04C6DE2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Estimate</w:t>
            </w:r>
          </w:p>
        </w:tc>
        <w:tc>
          <w:tcPr>
            <w:tcW w:w="2880" w:type="dxa"/>
            <w:vAlign w:val="center"/>
          </w:tcPr>
          <w:p w14:paraId="60CDBD86" w14:textId="77777777" w:rsidR="006F1ED9" w:rsidRPr="00272F0D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</w:pPr>
            <w:r w:rsidRPr="5F226C58">
              <w:rPr>
                <w:rFonts w:asciiTheme="majorHAnsi" w:eastAsiaTheme="majorEastAsia" w:hAnsiTheme="majorHAnsi" w:cstheme="majorBidi"/>
                <w:sz w:val="24"/>
                <w:szCs w:val="24"/>
                <w:highlight w:val="yellow"/>
              </w:rPr>
              <w:t>$</w:t>
            </w:r>
          </w:p>
        </w:tc>
        <w:tc>
          <w:tcPr>
            <w:tcW w:w="3735" w:type="dxa"/>
            <w:vAlign w:val="center"/>
          </w:tcPr>
          <w:p w14:paraId="4FECB3C4" w14:textId="77777777" w:rsidR="006F1ED9" w:rsidRDefault="006F1ED9" w:rsidP="5F226C58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4D61A614" w14:textId="77777777" w:rsidR="006F1ED9" w:rsidRDefault="006F1ED9" w:rsidP="5F226C58">
      <w:pPr>
        <w:rPr>
          <w:rFonts w:asciiTheme="majorHAnsi" w:eastAsiaTheme="majorEastAsia" w:hAnsiTheme="majorHAnsi" w:cstheme="majorBidi"/>
        </w:rPr>
      </w:pPr>
    </w:p>
    <w:p w14:paraId="362D35A4" w14:textId="2937DA24" w:rsidR="006F1ED9" w:rsidRDefault="006F1ED9" w:rsidP="4BB1C56A">
      <w:pPr>
        <w:jc w:val="both"/>
        <w:rPr>
          <w:rFonts w:asciiTheme="majorHAnsi" w:eastAsiaTheme="majorEastAsia" w:hAnsiTheme="majorHAnsi" w:cstheme="majorBidi"/>
          <w:i/>
          <w:iCs/>
        </w:rPr>
      </w:pPr>
      <w:r w:rsidRPr="4BB1C56A">
        <w:rPr>
          <w:rFonts w:asciiTheme="majorHAnsi" w:eastAsiaTheme="majorEastAsia" w:hAnsiTheme="majorHAnsi" w:cstheme="majorBidi"/>
        </w:rPr>
        <w:lastRenderedPageBreak/>
        <w:t xml:space="preserve">Upon return, I will provide a post-conference report </w:t>
      </w:r>
      <w:r w:rsidR="62ACF5BA" w:rsidRPr="4BB1C56A">
        <w:rPr>
          <w:rFonts w:asciiTheme="majorHAnsi" w:eastAsiaTheme="majorEastAsia" w:hAnsiTheme="majorHAnsi" w:cstheme="majorBidi"/>
        </w:rPr>
        <w:t>(</w:t>
      </w:r>
      <w:hyperlink r:id="rId10">
        <w:r w:rsidR="62ACF5BA" w:rsidRPr="4BB1C56A">
          <w:rPr>
            <w:rStyle w:val="Hyperlink"/>
            <w:rFonts w:asciiTheme="majorHAnsi" w:eastAsiaTheme="majorEastAsia" w:hAnsiTheme="majorHAnsi" w:cstheme="majorBidi"/>
          </w:rPr>
          <w:t>download the post-conference summary template here</w:t>
        </w:r>
      </w:hyperlink>
      <w:r w:rsidR="62ACF5BA" w:rsidRPr="4BB1C56A">
        <w:rPr>
          <w:rFonts w:asciiTheme="majorHAnsi" w:eastAsiaTheme="majorEastAsia" w:hAnsiTheme="majorHAnsi" w:cstheme="majorBidi"/>
        </w:rPr>
        <w:t>)</w:t>
      </w:r>
      <w:r w:rsidR="23F43FF0" w:rsidRPr="4BB1C56A">
        <w:rPr>
          <w:rFonts w:asciiTheme="majorHAnsi" w:eastAsiaTheme="majorEastAsia" w:hAnsiTheme="majorHAnsi" w:cstheme="majorBidi"/>
        </w:rPr>
        <w:t xml:space="preserve"> </w:t>
      </w:r>
      <w:r w:rsidRPr="4BB1C56A">
        <w:rPr>
          <w:rFonts w:asciiTheme="majorHAnsi" w:eastAsiaTheme="majorEastAsia" w:hAnsiTheme="majorHAnsi" w:cstheme="majorBidi"/>
        </w:rPr>
        <w:t>summarizing key takeaways, best practices and recommendations to maximize our current investments and improve outcomes.</w:t>
      </w:r>
      <w:r w:rsidR="65533787" w:rsidRPr="4BB1C56A">
        <w:rPr>
          <w:rFonts w:asciiTheme="majorHAnsi" w:eastAsiaTheme="majorEastAsia" w:hAnsiTheme="majorHAnsi" w:cstheme="majorBidi"/>
        </w:rPr>
        <w:t xml:space="preserve"> </w:t>
      </w:r>
    </w:p>
    <w:p w14:paraId="46675A57" w14:textId="77777777" w:rsidR="006F1ED9" w:rsidRDefault="006F1ED9" w:rsidP="33BD25C4">
      <w:pPr>
        <w:jc w:val="both"/>
        <w:rPr>
          <w:rFonts w:asciiTheme="majorHAnsi" w:eastAsiaTheme="majorEastAsia" w:hAnsiTheme="majorHAnsi" w:cstheme="majorBidi"/>
        </w:rPr>
      </w:pPr>
    </w:p>
    <w:p w14:paraId="7F6FAF63" w14:textId="3416290C" w:rsidR="006F1ED9" w:rsidRDefault="006F1ED9" w:rsidP="33BD25C4">
      <w:pPr>
        <w:jc w:val="both"/>
        <w:rPr>
          <w:rFonts w:asciiTheme="majorHAnsi" w:eastAsiaTheme="majorEastAsia" w:hAnsiTheme="majorHAnsi" w:cstheme="majorBidi"/>
        </w:rPr>
      </w:pPr>
      <w:r w:rsidRPr="04C6DE2E">
        <w:rPr>
          <w:rFonts w:asciiTheme="majorHAnsi" w:eastAsiaTheme="majorEastAsia" w:hAnsiTheme="majorHAnsi" w:cstheme="majorBidi"/>
        </w:rPr>
        <w:t>You can find more details about the event</w:t>
      </w:r>
      <w:r w:rsidR="37236A22" w:rsidRPr="04C6DE2E">
        <w:rPr>
          <w:rFonts w:asciiTheme="majorHAnsi" w:eastAsiaTheme="majorEastAsia" w:hAnsiTheme="majorHAnsi" w:cstheme="majorBidi"/>
        </w:rPr>
        <w:t>, as well as takeaways from past attendees,</w:t>
      </w:r>
      <w:r w:rsidRPr="04C6DE2E">
        <w:rPr>
          <w:rFonts w:asciiTheme="majorHAnsi" w:eastAsiaTheme="majorEastAsia" w:hAnsiTheme="majorHAnsi" w:cstheme="majorBidi"/>
        </w:rPr>
        <w:t xml:space="preserve"> at </w:t>
      </w:r>
      <w:r w:rsidR="0EC38A34" w:rsidRPr="04C6DE2E">
        <w:rPr>
          <w:rFonts w:asciiTheme="majorHAnsi" w:eastAsiaTheme="majorEastAsia" w:hAnsiTheme="majorHAnsi" w:cstheme="majorBidi"/>
        </w:rPr>
        <w:t>https://www.axxess.com/agile</w:t>
      </w:r>
      <w:r w:rsidRPr="04C6DE2E">
        <w:rPr>
          <w:rFonts w:asciiTheme="majorHAnsi" w:eastAsiaTheme="majorEastAsia" w:hAnsiTheme="majorHAnsi" w:cstheme="majorBidi"/>
        </w:rPr>
        <w:t>. Please let me know if I have your approval to attend. Early registration and travel booking will help reduce overall costs.</w:t>
      </w:r>
    </w:p>
    <w:p w14:paraId="0498960F" w14:textId="77777777" w:rsidR="006F1ED9" w:rsidRDefault="006F1ED9" w:rsidP="33BD25C4">
      <w:pPr>
        <w:jc w:val="both"/>
        <w:rPr>
          <w:rFonts w:asciiTheme="majorHAnsi" w:eastAsiaTheme="majorEastAsia" w:hAnsiTheme="majorHAnsi" w:cstheme="majorBidi"/>
        </w:rPr>
      </w:pPr>
    </w:p>
    <w:p w14:paraId="7AA86EDC" w14:textId="06018D5B" w:rsidR="006F1ED9" w:rsidRDefault="006F1ED9" w:rsidP="33BD25C4">
      <w:pPr>
        <w:jc w:val="both"/>
        <w:rPr>
          <w:rFonts w:asciiTheme="majorHAnsi" w:eastAsiaTheme="majorEastAsia" w:hAnsiTheme="majorHAnsi" w:cstheme="majorBidi"/>
        </w:rPr>
      </w:pPr>
      <w:r w:rsidRPr="5F226C58">
        <w:rPr>
          <w:rFonts w:asciiTheme="majorHAnsi" w:eastAsiaTheme="majorEastAsia" w:hAnsiTheme="majorHAnsi" w:cstheme="majorBidi"/>
        </w:rPr>
        <w:t>Thank you for considering this request.</w:t>
      </w:r>
    </w:p>
    <w:p w14:paraId="51BA60ED" w14:textId="77777777" w:rsidR="006F1ED9" w:rsidRDefault="006F1ED9" w:rsidP="33BD25C4">
      <w:pPr>
        <w:jc w:val="both"/>
        <w:rPr>
          <w:rFonts w:asciiTheme="majorHAnsi" w:eastAsiaTheme="majorEastAsia" w:hAnsiTheme="majorHAnsi" w:cstheme="majorBidi"/>
        </w:rPr>
      </w:pPr>
    </w:p>
    <w:p w14:paraId="10EACDA7" w14:textId="77777777" w:rsidR="006F1ED9" w:rsidRDefault="006F1ED9" w:rsidP="5F226C58">
      <w:pPr>
        <w:rPr>
          <w:rFonts w:asciiTheme="majorHAnsi" w:eastAsiaTheme="majorEastAsia" w:hAnsiTheme="majorHAnsi" w:cstheme="majorBidi"/>
        </w:rPr>
      </w:pPr>
    </w:p>
    <w:p w14:paraId="2AB1DE8A" w14:textId="762552EA" w:rsidR="006F1ED9" w:rsidRDefault="006F1ED9" w:rsidP="5F226C58">
      <w:pPr>
        <w:rPr>
          <w:rFonts w:asciiTheme="majorHAnsi" w:eastAsiaTheme="majorEastAsia" w:hAnsiTheme="majorHAnsi" w:cstheme="majorBidi"/>
        </w:rPr>
      </w:pPr>
      <w:r w:rsidRPr="5F226C58">
        <w:rPr>
          <w:rFonts w:asciiTheme="majorHAnsi" w:eastAsiaTheme="majorEastAsia" w:hAnsiTheme="majorHAnsi" w:cstheme="majorBidi"/>
        </w:rPr>
        <w:t>Sincerely,</w:t>
      </w:r>
      <w:r>
        <w:br/>
      </w:r>
      <w:r w:rsidRPr="5F226C58">
        <w:rPr>
          <w:rFonts w:asciiTheme="majorHAnsi" w:eastAsiaTheme="majorEastAsia" w:hAnsiTheme="majorHAnsi" w:cstheme="majorBidi"/>
          <w:highlight w:val="yellow"/>
        </w:rPr>
        <w:t>&lt;Your name&gt;</w:t>
      </w:r>
      <w:r w:rsidRPr="5F226C58">
        <w:rPr>
          <w:rFonts w:asciiTheme="majorHAnsi" w:eastAsiaTheme="majorEastAsia" w:hAnsiTheme="majorHAnsi" w:cstheme="majorBidi"/>
        </w:rPr>
        <w:t xml:space="preserve"> </w:t>
      </w:r>
    </w:p>
    <w:p w14:paraId="04B32E47" w14:textId="77777777" w:rsidR="006F1ED9" w:rsidRDefault="006F1ED9" w:rsidP="5F226C58">
      <w:pPr>
        <w:rPr>
          <w:rFonts w:asciiTheme="majorHAnsi" w:eastAsiaTheme="majorEastAsia" w:hAnsiTheme="majorHAnsi" w:cstheme="majorBidi"/>
        </w:rPr>
      </w:pPr>
    </w:p>
    <w:p w14:paraId="74949DCE" w14:textId="77777777" w:rsidR="004B16DA" w:rsidRDefault="004B16DA" w:rsidP="5F226C58">
      <w:pPr>
        <w:rPr>
          <w:rFonts w:asciiTheme="majorHAnsi" w:eastAsiaTheme="majorEastAsia" w:hAnsiTheme="majorHAnsi" w:cstheme="majorBidi"/>
        </w:rPr>
      </w:pPr>
    </w:p>
    <w:sectPr w:rsidR="004B16DA" w:rsidSect="0059322E">
      <w:headerReference w:type="default" r:id="rId11"/>
      <w:footerReference w:type="default" r:id="rId12"/>
      <w:pgSz w:w="12240" w:h="15840"/>
      <w:pgMar w:top="1857" w:right="1440" w:bottom="630" w:left="1800" w:header="547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AE909" w14:textId="77777777" w:rsidR="0017712A" w:rsidRDefault="0017712A" w:rsidP="001B6462">
      <w:r>
        <w:separator/>
      </w:r>
    </w:p>
  </w:endnote>
  <w:endnote w:type="continuationSeparator" w:id="0">
    <w:p w14:paraId="3349CA97" w14:textId="77777777" w:rsidR="0017712A" w:rsidRDefault="0017712A" w:rsidP="001B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16A0" w14:textId="5ED2A43B" w:rsidR="00EA1503" w:rsidRDefault="00577F43" w:rsidP="005E097D">
    <w:pPr>
      <w:pStyle w:val="Footer"/>
      <w:ind w:left="180" w:right="90" w:hanging="16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4D9744" wp14:editId="472CFE7D">
          <wp:simplePos x="0" y="0"/>
          <wp:positionH relativeFrom="column">
            <wp:posOffset>-973731</wp:posOffset>
          </wp:positionH>
          <wp:positionV relativeFrom="paragraph">
            <wp:posOffset>-7620</wp:posOffset>
          </wp:positionV>
          <wp:extent cx="7433688" cy="560058"/>
          <wp:effectExtent l="0" t="0" r="0" b="0"/>
          <wp:wrapNone/>
          <wp:docPr id="69490131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356207" name="Picture 48"/>
                  <pic:cNvPicPr/>
                </pic:nvPicPr>
                <pic:blipFill>
                  <a:blip r:embed="rId1"/>
                  <a:srcRect t="128" b="128"/>
                  <a:stretch>
                    <a:fillRect/>
                  </a:stretch>
                </pic:blipFill>
                <pic:spPr bwMode="auto">
                  <a:xfrm>
                    <a:off x="0" y="0"/>
                    <a:ext cx="7433688" cy="5600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2F3C5" w14:textId="198A0446" w:rsidR="001B6462" w:rsidRDefault="001B6462" w:rsidP="005E097D">
    <w:pPr>
      <w:pStyle w:val="Footer"/>
      <w:ind w:left="180" w:right="90" w:hanging="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EB638" w14:textId="77777777" w:rsidR="0017712A" w:rsidRDefault="0017712A" w:rsidP="001B6462">
      <w:r>
        <w:separator/>
      </w:r>
    </w:p>
  </w:footnote>
  <w:footnote w:type="continuationSeparator" w:id="0">
    <w:p w14:paraId="68F30350" w14:textId="77777777" w:rsidR="0017712A" w:rsidRDefault="0017712A" w:rsidP="001B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6786" w14:textId="07BC58EE" w:rsidR="001B6462" w:rsidRPr="001B6462" w:rsidRDefault="55BD8883" w:rsidP="005E097D">
    <w:pPr>
      <w:pStyle w:val="Header"/>
      <w:tabs>
        <w:tab w:val="clear" w:pos="8640"/>
      </w:tabs>
      <w:ind w:left="-90" w:right="-1350" w:hanging="144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1AC97E9" wp14:editId="193CF6DE">
          <wp:simplePos x="0" y="0"/>
          <wp:positionH relativeFrom="column">
            <wp:posOffset>-974090</wp:posOffset>
          </wp:positionH>
          <wp:positionV relativeFrom="paragraph">
            <wp:posOffset>-149087</wp:posOffset>
          </wp:positionV>
          <wp:extent cx="7374466" cy="761562"/>
          <wp:effectExtent l="0" t="0" r="0" b="0"/>
          <wp:wrapNone/>
          <wp:docPr id="854963825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484611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4466" cy="761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48A6"/>
    <w:multiLevelType w:val="hybridMultilevel"/>
    <w:tmpl w:val="A704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A3036"/>
    <w:multiLevelType w:val="hybridMultilevel"/>
    <w:tmpl w:val="6B0E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11459">
    <w:abstractNumId w:val="1"/>
  </w:num>
  <w:num w:numId="2" w16cid:durableId="204035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62"/>
    <w:rsid w:val="0006730F"/>
    <w:rsid w:val="00133CB0"/>
    <w:rsid w:val="0017712A"/>
    <w:rsid w:val="00186956"/>
    <w:rsid w:val="00190471"/>
    <w:rsid w:val="001B6462"/>
    <w:rsid w:val="001C42A2"/>
    <w:rsid w:val="001D5837"/>
    <w:rsid w:val="00212843"/>
    <w:rsid w:val="002537E8"/>
    <w:rsid w:val="00255D2B"/>
    <w:rsid w:val="002E1625"/>
    <w:rsid w:val="00380ED6"/>
    <w:rsid w:val="003B5694"/>
    <w:rsid w:val="003B7271"/>
    <w:rsid w:val="004B16DA"/>
    <w:rsid w:val="004C4FEA"/>
    <w:rsid w:val="004D1FF1"/>
    <w:rsid w:val="004F28B8"/>
    <w:rsid w:val="005554AF"/>
    <w:rsid w:val="00577F43"/>
    <w:rsid w:val="0059322E"/>
    <w:rsid w:val="005E097D"/>
    <w:rsid w:val="005F5D73"/>
    <w:rsid w:val="00612FB4"/>
    <w:rsid w:val="00646C89"/>
    <w:rsid w:val="00662E33"/>
    <w:rsid w:val="006C00B5"/>
    <w:rsid w:val="006F1ED9"/>
    <w:rsid w:val="007728F0"/>
    <w:rsid w:val="008267D2"/>
    <w:rsid w:val="00843833"/>
    <w:rsid w:val="00851AC7"/>
    <w:rsid w:val="008E7297"/>
    <w:rsid w:val="00927A21"/>
    <w:rsid w:val="00A41957"/>
    <w:rsid w:val="00A57EB2"/>
    <w:rsid w:val="00A801A2"/>
    <w:rsid w:val="00AB0B42"/>
    <w:rsid w:val="00AC1276"/>
    <w:rsid w:val="00AE32EE"/>
    <w:rsid w:val="00AF356E"/>
    <w:rsid w:val="00B35614"/>
    <w:rsid w:val="00B7385C"/>
    <w:rsid w:val="00BF27F5"/>
    <w:rsid w:val="00CA52E3"/>
    <w:rsid w:val="00CB75F9"/>
    <w:rsid w:val="00D218A9"/>
    <w:rsid w:val="00D3363E"/>
    <w:rsid w:val="00E0718D"/>
    <w:rsid w:val="00E2682C"/>
    <w:rsid w:val="00E66C71"/>
    <w:rsid w:val="00EA1503"/>
    <w:rsid w:val="00EB1D46"/>
    <w:rsid w:val="00F02FDF"/>
    <w:rsid w:val="00FA47BB"/>
    <w:rsid w:val="0278117B"/>
    <w:rsid w:val="02B43022"/>
    <w:rsid w:val="035C944A"/>
    <w:rsid w:val="037BD260"/>
    <w:rsid w:val="04C6DE2E"/>
    <w:rsid w:val="054FB2F2"/>
    <w:rsid w:val="0568A1E5"/>
    <w:rsid w:val="05E47B9E"/>
    <w:rsid w:val="05F854A5"/>
    <w:rsid w:val="075DEF48"/>
    <w:rsid w:val="076209A0"/>
    <w:rsid w:val="0885F20C"/>
    <w:rsid w:val="09DEE754"/>
    <w:rsid w:val="0A1CDD2D"/>
    <w:rsid w:val="0EC38A34"/>
    <w:rsid w:val="0F6A2607"/>
    <w:rsid w:val="10703CBD"/>
    <w:rsid w:val="1224078F"/>
    <w:rsid w:val="1446EC56"/>
    <w:rsid w:val="14A94603"/>
    <w:rsid w:val="14F39C00"/>
    <w:rsid w:val="176E28D3"/>
    <w:rsid w:val="183A0218"/>
    <w:rsid w:val="18DA5E9B"/>
    <w:rsid w:val="1937E091"/>
    <w:rsid w:val="199EA957"/>
    <w:rsid w:val="1B629148"/>
    <w:rsid w:val="1B960FAE"/>
    <w:rsid w:val="1BA5895C"/>
    <w:rsid w:val="1C20FA65"/>
    <w:rsid w:val="1CB40DEA"/>
    <w:rsid w:val="1DFF026E"/>
    <w:rsid w:val="1E54A590"/>
    <w:rsid w:val="1E9A2BDC"/>
    <w:rsid w:val="1F1EAE82"/>
    <w:rsid w:val="1F757ABE"/>
    <w:rsid w:val="219CAB41"/>
    <w:rsid w:val="224AFA72"/>
    <w:rsid w:val="22568D0A"/>
    <w:rsid w:val="22751BE8"/>
    <w:rsid w:val="23F43FF0"/>
    <w:rsid w:val="2486BC35"/>
    <w:rsid w:val="25CC7706"/>
    <w:rsid w:val="26B693FF"/>
    <w:rsid w:val="26CDD7D1"/>
    <w:rsid w:val="2740936A"/>
    <w:rsid w:val="29EF769F"/>
    <w:rsid w:val="2A1E625E"/>
    <w:rsid w:val="2A6DB648"/>
    <w:rsid w:val="2AA53CF3"/>
    <w:rsid w:val="2D046351"/>
    <w:rsid w:val="2F0369B9"/>
    <w:rsid w:val="2FFF06B9"/>
    <w:rsid w:val="30C72376"/>
    <w:rsid w:val="310A7EF7"/>
    <w:rsid w:val="3115C150"/>
    <w:rsid w:val="316F8B4E"/>
    <w:rsid w:val="3183A014"/>
    <w:rsid w:val="318B81B0"/>
    <w:rsid w:val="31CFAFA0"/>
    <w:rsid w:val="32613328"/>
    <w:rsid w:val="32F896B2"/>
    <w:rsid w:val="33BD25C4"/>
    <w:rsid w:val="3414FF74"/>
    <w:rsid w:val="36CBC985"/>
    <w:rsid w:val="37236A22"/>
    <w:rsid w:val="375DE949"/>
    <w:rsid w:val="3774A426"/>
    <w:rsid w:val="37C5A1A9"/>
    <w:rsid w:val="3835B6EF"/>
    <w:rsid w:val="3D555A41"/>
    <w:rsid w:val="3E331937"/>
    <w:rsid w:val="3E3DAB5C"/>
    <w:rsid w:val="3F96B1A5"/>
    <w:rsid w:val="3FC3A1E0"/>
    <w:rsid w:val="4062D6BD"/>
    <w:rsid w:val="407DD781"/>
    <w:rsid w:val="41055039"/>
    <w:rsid w:val="42816642"/>
    <w:rsid w:val="439D31DD"/>
    <w:rsid w:val="44282B93"/>
    <w:rsid w:val="44CE83CC"/>
    <w:rsid w:val="45B6CF32"/>
    <w:rsid w:val="46C95C39"/>
    <w:rsid w:val="46E55AA1"/>
    <w:rsid w:val="47F480AD"/>
    <w:rsid w:val="47F5C340"/>
    <w:rsid w:val="4844A954"/>
    <w:rsid w:val="488A7BFE"/>
    <w:rsid w:val="48BF0A75"/>
    <w:rsid w:val="4908C6E3"/>
    <w:rsid w:val="4A482BE6"/>
    <w:rsid w:val="4B061B65"/>
    <w:rsid w:val="4B612903"/>
    <w:rsid w:val="4BA93058"/>
    <w:rsid w:val="4BB1C56A"/>
    <w:rsid w:val="4C4FA944"/>
    <w:rsid w:val="4C8DA81A"/>
    <w:rsid w:val="4CB12DD4"/>
    <w:rsid w:val="4E6BE181"/>
    <w:rsid w:val="4F37DB21"/>
    <w:rsid w:val="50B51E86"/>
    <w:rsid w:val="50CD86EF"/>
    <w:rsid w:val="52992ADD"/>
    <w:rsid w:val="5320FE6A"/>
    <w:rsid w:val="54008858"/>
    <w:rsid w:val="55BD8883"/>
    <w:rsid w:val="55E8B4B0"/>
    <w:rsid w:val="57FD4FF4"/>
    <w:rsid w:val="5864522D"/>
    <w:rsid w:val="58DFD7B2"/>
    <w:rsid w:val="58E2C78A"/>
    <w:rsid w:val="58EE8B7C"/>
    <w:rsid w:val="5A4940E8"/>
    <w:rsid w:val="5A81C4C7"/>
    <w:rsid w:val="5A91C50A"/>
    <w:rsid w:val="5D30C1D1"/>
    <w:rsid w:val="5D402F7F"/>
    <w:rsid w:val="5D4A604F"/>
    <w:rsid w:val="5DAD90A9"/>
    <w:rsid w:val="5E00DD35"/>
    <w:rsid w:val="5E129ED7"/>
    <w:rsid w:val="5F226C58"/>
    <w:rsid w:val="5F453DCC"/>
    <w:rsid w:val="600AC5CC"/>
    <w:rsid w:val="60A4C94E"/>
    <w:rsid w:val="61253C80"/>
    <w:rsid w:val="613A17B4"/>
    <w:rsid w:val="62ACF5BA"/>
    <w:rsid w:val="63B0A7E6"/>
    <w:rsid w:val="64DF0044"/>
    <w:rsid w:val="65533787"/>
    <w:rsid w:val="663BF3E3"/>
    <w:rsid w:val="68550ABF"/>
    <w:rsid w:val="696663AE"/>
    <w:rsid w:val="69921483"/>
    <w:rsid w:val="6993C605"/>
    <w:rsid w:val="6A2CAEA4"/>
    <w:rsid w:val="6A4B6649"/>
    <w:rsid w:val="6AFC7DBD"/>
    <w:rsid w:val="6B59C92B"/>
    <w:rsid w:val="6D4F9923"/>
    <w:rsid w:val="6D76D785"/>
    <w:rsid w:val="6DB999A8"/>
    <w:rsid w:val="6E41AA05"/>
    <w:rsid w:val="6EFEFBC0"/>
    <w:rsid w:val="700CC3C4"/>
    <w:rsid w:val="71FB7C47"/>
    <w:rsid w:val="725DFD12"/>
    <w:rsid w:val="7407EBAD"/>
    <w:rsid w:val="742D18CC"/>
    <w:rsid w:val="755AA899"/>
    <w:rsid w:val="760AA304"/>
    <w:rsid w:val="763B9D25"/>
    <w:rsid w:val="7649B3B0"/>
    <w:rsid w:val="76AFB698"/>
    <w:rsid w:val="77D04A75"/>
    <w:rsid w:val="78B1B75C"/>
    <w:rsid w:val="7B2C0A2B"/>
    <w:rsid w:val="7CCDF84C"/>
    <w:rsid w:val="7D07C235"/>
    <w:rsid w:val="7DF764FB"/>
    <w:rsid w:val="7F6EC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C7E978"/>
  <w14:defaultImageDpi w14:val="300"/>
  <w15:docId w15:val="{D38F1241-7667-4F0A-BFDC-CBF7F7D7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E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4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462"/>
  </w:style>
  <w:style w:type="paragraph" w:styleId="Footer">
    <w:name w:val="footer"/>
    <w:basedOn w:val="Normal"/>
    <w:link w:val="FooterChar"/>
    <w:uiPriority w:val="99"/>
    <w:unhideWhenUsed/>
    <w:rsid w:val="001B64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462"/>
  </w:style>
  <w:style w:type="paragraph" w:styleId="BalloonText">
    <w:name w:val="Balloon Text"/>
    <w:basedOn w:val="Normal"/>
    <w:link w:val="BalloonTextChar"/>
    <w:uiPriority w:val="99"/>
    <w:semiHidden/>
    <w:unhideWhenUsed/>
    <w:rsid w:val="001B64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6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0E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66C7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F1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F1E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4C6DE2E"/>
    <w:rPr>
      <w:color w:val="0000FF"/>
      <w:u w:val="single"/>
    </w:rPr>
  </w:style>
  <w:style w:type="paragraph" w:styleId="Revision">
    <w:name w:val="Revision"/>
    <w:hidden/>
    <w:uiPriority w:val="99"/>
    <w:semiHidden/>
    <w:rsid w:val="002E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xxess.com/assets/images/pages/agile/Post-Conference-Summary-Templat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1AAE02988AE42BC48F96E0970C301" ma:contentTypeVersion="20" ma:contentTypeDescription="Create a new document." ma:contentTypeScope="" ma:versionID="228aacc32f3bf0970d92d5944a5b3942">
  <xsd:schema xmlns:xsd="http://www.w3.org/2001/XMLSchema" xmlns:xs="http://www.w3.org/2001/XMLSchema" xmlns:p="http://schemas.microsoft.com/office/2006/metadata/properties" xmlns:ns2="7c643c44-bdc1-4e7b-82f9-1d993ca25dc5" xmlns:ns3="fe2f53c1-c4d2-438b-9f5b-c02ca545433c" targetNamespace="http://schemas.microsoft.com/office/2006/metadata/properties" ma:root="true" ma:fieldsID="af87174adc7f2f390320d082a757ed51" ns2:_="" ns3:_="">
    <xsd:import namespace="7c643c44-bdc1-4e7b-82f9-1d993ca25dc5"/>
    <xsd:import namespace="fe2f53c1-c4d2-438b-9f5b-c02ca5454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Imag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43c44-bdc1-4e7b-82f9-1d993ca25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3c0907-c4ce-448a-a299-065f8bb317f4}" ma:internalName="TaxCatchAll" ma:showField="CatchAllData" ma:web="7c643c44-bdc1-4e7b-82f9-1d993ca25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f53c1-c4d2-438b-9f5b-c02ca5454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1" nillable="true" ma:displayName="Image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4badc0-7110-48b1-a1d7-03b470ab6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f53c1-c4d2-438b-9f5b-c02ca545433c">
      <Terms xmlns="http://schemas.microsoft.com/office/infopath/2007/PartnerControls"/>
    </lcf76f155ced4ddcb4097134ff3c332f>
    <Image xmlns="fe2f53c1-c4d2-438b-9f5b-c02ca545433c" xsi:nil="true"/>
    <TaxCatchAll xmlns="7c643c44-bdc1-4e7b-82f9-1d993ca25d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1DEFA-1B13-49D9-BC6D-5B6D0AA1B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43c44-bdc1-4e7b-82f9-1d993ca25dc5"/>
    <ds:schemaRef ds:uri="fe2f53c1-c4d2-438b-9f5b-c02ca5454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B6F9C-DB6D-44D6-99E6-179035344330}">
  <ds:schemaRefs>
    <ds:schemaRef ds:uri="http://schemas.microsoft.com/office/2006/metadata/properties"/>
    <ds:schemaRef ds:uri="http://schemas.microsoft.com/office/infopath/2007/PartnerControls"/>
    <ds:schemaRef ds:uri="fe2f53c1-c4d2-438b-9f5b-c02ca545433c"/>
    <ds:schemaRef ds:uri="7c643c44-bdc1-4e7b-82f9-1d993ca25dc5"/>
  </ds:schemaRefs>
</ds:datastoreItem>
</file>

<file path=customXml/itemProps3.xml><?xml version="1.0" encoding="utf-8"?>
<ds:datastoreItem xmlns:ds="http://schemas.openxmlformats.org/officeDocument/2006/customXml" ds:itemID="{BFB48591-A173-422B-83C5-59300C1CF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3237</Characters>
  <Application>Microsoft Office Word</Application>
  <DocSecurity>0</DocSecurity>
  <Lines>26</Lines>
  <Paragraphs>7</Paragraphs>
  <ScaleCrop>false</ScaleCrop>
  <Company>Axxess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Daprix</dc:creator>
  <cp:keywords/>
  <dc:description/>
  <cp:lastModifiedBy>Sam Moala</cp:lastModifiedBy>
  <cp:revision>22</cp:revision>
  <dcterms:created xsi:type="dcterms:W3CDTF">2025-07-25T00:22:00Z</dcterms:created>
  <dcterms:modified xsi:type="dcterms:W3CDTF">2025-08-11T16:38:00Z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0x0101005C21AAE02988AE42BC48F96E0970C301</vt:lpwstr>
  </property>
  <property fmtid="{D5CDD505-2E9C-101B-9397-08002B2CF9AE}" pid="3" name="Order">
    <vt:r8>53400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